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600" w:lineRule="exact"/>
        <w:ind w:firstLine="320" w:firstLineChars="100"/>
        <w:jc w:val="left"/>
        <w:textAlignment w:val="auto"/>
        <w:rPr>
          <w:rFonts w:hint="default" w:ascii="黑体" w:hAnsi="黑体" w:eastAsia="黑体" w:cs="黑体"/>
          <w:bCs/>
          <w:color w:val="auto"/>
          <w:kern w:val="0"/>
          <w:sz w:val="32"/>
          <w:szCs w:val="32"/>
          <w:highlight w:val="none"/>
          <w:lang w:val="en-US" w:eastAsia="zh-CN" w:bidi="ar-SA"/>
        </w:rPr>
      </w:pPr>
      <w:r>
        <w:rPr>
          <w:rFonts w:hint="eastAsia" w:ascii="黑体" w:hAnsi="黑体" w:eastAsia="黑体" w:cs="黑体"/>
          <w:bCs/>
          <w:color w:val="auto"/>
          <w:kern w:val="0"/>
          <w:sz w:val="32"/>
          <w:szCs w:val="32"/>
          <w:highlight w:val="none"/>
          <w:lang w:val="en-US" w:eastAsia="zh-CN" w:bidi="ar-SA"/>
        </w:rPr>
        <w:t>附件2</w:t>
      </w:r>
    </w:p>
    <w:p>
      <w:pPr>
        <w:pStyle w:val="3"/>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default"/>
          <w:lang w:val="en-US" w:eastAsia="zh-CN"/>
        </w:rPr>
      </w:pPr>
    </w:p>
    <w:p>
      <w:pPr>
        <w:pStyle w:val="3"/>
        <w:keepNext w:val="0"/>
        <w:keepLines w:val="0"/>
        <w:pageBreakBefore w:val="0"/>
        <w:widowControl w:val="0"/>
        <w:kinsoku/>
        <w:wordWrap/>
        <w:overflowPunct/>
        <w:topLinePunct w:val="0"/>
        <w:autoSpaceDE/>
        <w:autoSpaceDN/>
        <w:bidi w:val="0"/>
        <w:adjustRightInd/>
        <w:snapToGrid/>
        <w:spacing w:after="0" w:line="600" w:lineRule="exact"/>
        <w:textAlignment w:val="auto"/>
        <w:rPr>
          <w:rFonts w:hint="eastAsia" w:ascii="方正小标宋简体" w:hAnsi="方正小标宋简体" w:eastAsia="方正小标宋简体" w:cs="方正小标宋简体"/>
          <w:bCs/>
          <w:color w:val="auto"/>
          <w:kern w:val="0"/>
          <w:sz w:val="44"/>
          <w:szCs w:val="44"/>
          <w:highlight w:val="none"/>
          <w:lang w:val="en-US" w:eastAsia="zh-CN" w:bidi="ar-SA"/>
        </w:rPr>
      </w:pPr>
      <w:bookmarkStart w:id="0" w:name="_GoBack"/>
      <w:r>
        <w:rPr>
          <w:rFonts w:hint="eastAsia" w:ascii="方正小标宋简体" w:hAnsi="方正小标宋简体" w:eastAsia="方正小标宋简体" w:cs="方正小标宋简体"/>
          <w:bCs/>
          <w:color w:val="auto"/>
          <w:kern w:val="0"/>
          <w:sz w:val="44"/>
          <w:szCs w:val="44"/>
          <w:highlight w:val="none"/>
          <w:lang w:val="en-US" w:eastAsia="zh-CN" w:bidi="ar-SA"/>
        </w:rPr>
        <w:t>陕西省高水平中医药重点学科</w:t>
      </w:r>
    </w:p>
    <w:p>
      <w:pPr>
        <w:pStyle w:val="3"/>
        <w:keepNext w:val="0"/>
        <w:keepLines w:val="0"/>
        <w:pageBreakBefore w:val="0"/>
        <w:widowControl w:val="0"/>
        <w:kinsoku/>
        <w:wordWrap/>
        <w:overflowPunct/>
        <w:topLinePunct w:val="0"/>
        <w:autoSpaceDE/>
        <w:autoSpaceDN/>
        <w:bidi w:val="0"/>
        <w:adjustRightInd/>
        <w:snapToGrid/>
        <w:spacing w:after="0" w:line="600" w:lineRule="exact"/>
        <w:textAlignment w:val="auto"/>
        <w:rPr>
          <w:rFonts w:hint="eastAsia" w:ascii="方正小标宋简体" w:hAnsi="方正小标宋简体" w:eastAsia="方正小标宋简体" w:cs="方正小标宋简体"/>
          <w:bCs/>
          <w:color w:val="auto"/>
          <w:kern w:val="0"/>
          <w:sz w:val="44"/>
          <w:szCs w:val="44"/>
          <w:highlight w:val="none"/>
          <w:lang w:val="en-US" w:eastAsia="zh-CN" w:bidi="ar-SA"/>
        </w:rPr>
      </w:pPr>
      <w:r>
        <w:rPr>
          <w:rFonts w:hint="eastAsia" w:ascii="方正小标宋简体" w:hAnsi="方正小标宋简体" w:eastAsia="方正小标宋简体" w:cs="方正小标宋简体"/>
          <w:bCs/>
          <w:color w:val="auto"/>
          <w:kern w:val="0"/>
          <w:sz w:val="44"/>
          <w:szCs w:val="44"/>
          <w:highlight w:val="none"/>
          <w:lang w:val="en-US" w:eastAsia="zh-CN" w:bidi="ar-SA"/>
        </w:rPr>
        <w:t>建设项目实施方案</w:t>
      </w:r>
    </w:p>
    <w:bookmarkEnd w:id="0"/>
    <w:p>
      <w:pPr>
        <w:pStyle w:val="3"/>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微软雅黑" w:hAnsi="微软雅黑" w:eastAsia="微软雅黑" w:cs="微软雅黑"/>
          <w:bCs/>
          <w:color w:val="auto"/>
          <w:kern w:val="0"/>
          <w:sz w:val="44"/>
          <w:szCs w:val="44"/>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中医药学科建设是推动中医药学术发展的重要基础，是培养高层次中医药人才和产生高水平创新性成果的重要平台，是促进中医药振兴发展的重要支撑。为进一步贯彻落实《</w:t>
      </w:r>
      <w:r>
        <w:rPr>
          <w:rFonts w:hint="eastAsia" w:ascii="仿宋_GB2312" w:hAnsi="仿宋" w:eastAsia="仿宋_GB2312" w:cs="宋体"/>
          <w:b w:val="0"/>
          <w:bCs/>
          <w:color w:val="000000"/>
          <w:kern w:val="44"/>
          <w:sz w:val="32"/>
          <w:szCs w:val="32"/>
          <w:highlight w:val="none"/>
          <w:shd w:val="clear" w:color="auto" w:fill="auto"/>
          <w:lang w:val="en-US" w:eastAsia="zh-CN" w:bidi="ar"/>
        </w:rPr>
        <w:t>陕西省“十四五”中医药发展规划</w:t>
      </w:r>
      <w:r>
        <w:rPr>
          <w:rFonts w:hint="eastAsia" w:ascii="仿宋_GB2312" w:hAnsi="仿宋_GB2312" w:eastAsia="仿宋_GB2312" w:cs="仿宋_GB2312"/>
          <w:sz w:val="32"/>
          <w:szCs w:val="32"/>
          <w:lang w:val="en-US" w:eastAsia="zh-CN"/>
        </w:rPr>
        <w:t>》《陕西省加强新时代中医药人才工作方案》等文件要求，建设高水平中医药重点学科，制定本实施方案。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auto"/>
          <w:sz w:val="32"/>
          <w:highlight w:val="none"/>
        </w:rPr>
      </w:pPr>
      <w:r>
        <w:rPr>
          <w:rFonts w:hint="eastAsia" w:ascii="黑体" w:eastAsia="黑体"/>
          <w:kern w:val="0"/>
          <w:sz w:val="32"/>
          <w:szCs w:val="32"/>
        </w:rPr>
        <w:t>一、</w:t>
      </w:r>
      <w:r>
        <w:rPr>
          <w:rFonts w:hint="eastAsia" w:ascii="黑体" w:hAnsi="黑体" w:eastAsia="黑体" w:cs="黑体"/>
          <w:color w:val="auto"/>
          <w:sz w:val="32"/>
          <w:highlight w:val="none"/>
        </w:rPr>
        <w:t>项目目标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sz w:val="32"/>
          <w:szCs w:val="32"/>
        </w:rPr>
      </w:pPr>
      <w:r>
        <w:rPr>
          <w:rFonts w:ascii="Times New Roman" w:hAnsi="Times New Roman" w:eastAsia="仿宋_GB2312"/>
          <w:kern w:val="1"/>
          <w:sz w:val="32"/>
          <w:szCs w:val="32"/>
        </w:rPr>
        <w:t>以国家</w:t>
      </w:r>
      <w:r>
        <w:rPr>
          <w:rFonts w:hint="eastAsia" w:eastAsia="仿宋_GB2312"/>
          <w:kern w:val="1"/>
          <w:sz w:val="32"/>
          <w:szCs w:val="32"/>
          <w:lang w:val="en-US" w:eastAsia="zh-CN"/>
        </w:rPr>
        <w:t>和全省</w:t>
      </w:r>
      <w:r>
        <w:rPr>
          <w:rFonts w:ascii="Times New Roman" w:hAnsi="Times New Roman" w:eastAsia="仿宋_GB2312"/>
          <w:kern w:val="1"/>
          <w:sz w:val="32"/>
          <w:szCs w:val="32"/>
        </w:rPr>
        <w:t>重大需求为导向，</w:t>
      </w:r>
      <w:r>
        <w:rPr>
          <w:rFonts w:hint="eastAsia" w:ascii="Times New Roman" w:hAnsi="Times New Roman" w:eastAsia="仿宋_GB2312"/>
          <w:kern w:val="1"/>
          <w:sz w:val="32"/>
          <w:szCs w:val="32"/>
          <w:lang w:val="en-US" w:eastAsia="zh-CN"/>
        </w:rPr>
        <w:t>遴</w:t>
      </w:r>
      <w:r>
        <w:rPr>
          <w:rFonts w:hint="eastAsia" w:ascii="仿宋_GB2312" w:hAnsi="仿宋_GB2312" w:eastAsia="仿宋_GB2312" w:cs="仿宋_GB2312"/>
          <w:kern w:val="1"/>
          <w:sz w:val="32"/>
          <w:szCs w:val="32"/>
          <w:lang w:val="en-US" w:eastAsia="zh-CN"/>
        </w:rPr>
        <w:t>选确定10</w:t>
      </w:r>
      <w:r>
        <w:rPr>
          <w:rFonts w:hint="eastAsia" w:ascii="Times New Roman" w:hAnsi="Times New Roman" w:eastAsia="仿宋_GB2312"/>
          <w:kern w:val="1"/>
          <w:sz w:val="32"/>
          <w:szCs w:val="32"/>
          <w:lang w:val="en-US" w:eastAsia="zh-CN"/>
        </w:rPr>
        <w:t>个重</w:t>
      </w:r>
      <w:r>
        <w:rPr>
          <w:rFonts w:hint="eastAsia" w:eastAsia="仿宋_GB2312"/>
          <w:kern w:val="1"/>
          <w:sz w:val="32"/>
          <w:szCs w:val="32"/>
          <w:lang w:val="en-US" w:eastAsia="zh-CN"/>
        </w:rPr>
        <w:t>点学科进行重点建设，</w:t>
      </w:r>
      <w:r>
        <w:rPr>
          <w:rFonts w:ascii="Times New Roman" w:hAnsi="Times New Roman" w:eastAsia="仿宋_GB2312"/>
          <w:kern w:val="1"/>
          <w:sz w:val="32"/>
          <w:szCs w:val="32"/>
        </w:rPr>
        <w:t>遵循中医药学科发展规律，推动学科建设持续稳定高质量发展，培养高水平</w:t>
      </w:r>
      <w:r>
        <w:rPr>
          <w:rFonts w:hint="eastAsia" w:eastAsia="仿宋_GB2312"/>
          <w:kern w:val="1"/>
          <w:sz w:val="32"/>
          <w:szCs w:val="32"/>
          <w:lang w:val="en-US" w:eastAsia="zh-CN"/>
        </w:rPr>
        <w:t>高质量的</w:t>
      </w:r>
      <w:r>
        <w:rPr>
          <w:rFonts w:ascii="Times New Roman" w:hAnsi="Times New Roman" w:eastAsia="仿宋_GB2312"/>
          <w:kern w:val="1"/>
          <w:sz w:val="32"/>
          <w:szCs w:val="32"/>
        </w:rPr>
        <w:t>中医药学科带头人及学科团队，打造高水平中医药科学研究平台，形成一批标志性成果，为中医药传承创新发展提供学术引领和人才支撑。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eastAsia="黑体"/>
          <w:kern w:val="0"/>
          <w:sz w:val="32"/>
          <w:szCs w:val="32"/>
          <w:lang w:eastAsia="zh-CN"/>
        </w:rPr>
      </w:pPr>
      <w:r>
        <w:rPr>
          <w:rFonts w:hint="eastAsia" w:ascii="黑体" w:eastAsia="黑体"/>
          <w:kern w:val="0"/>
          <w:sz w:val="32"/>
          <w:szCs w:val="32"/>
        </w:rPr>
        <w:t>二、</w:t>
      </w:r>
      <w:r>
        <w:rPr>
          <w:rFonts w:hint="eastAsia" w:ascii="黑体" w:eastAsia="黑体"/>
          <w:kern w:val="0"/>
          <w:sz w:val="32"/>
          <w:szCs w:val="32"/>
          <w:lang w:val="en-US" w:eastAsia="zh-CN"/>
        </w:rPr>
        <w:t>项目任务</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Times New Roman" w:hAnsi="Times New Roman" w:eastAsia="仿宋_GB2312"/>
          <w:kern w:val="1"/>
          <w:sz w:val="32"/>
          <w:szCs w:val="32"/>
        </w:rPr>
      </w:pPr>
      <w:r>
        <w:rPr>
          <w:rFonts w:hint="eastAsia" w:ascii="仿宋_GB2312" w:hAnsi="Times New Roman" w:eastAsia="仿宋_GB2312"/>
          <w:b/>
          <w:bCs/>
          <w:kern w:val="1"/>
          <w:sz w:val="32"/>
          <w:szCs w:val="32"/>
        </w:rPr>
        <w:t>1.学科学术发展。</w:t>
      </w:r>
      <w:r>
        <w:rPr>
          <w:rFonts w:ascii="Times New Roman" w:hAnsi="Times New Roman" w:eastAsia="仿宋_GB2312"/>
          <w:kern w:val="1"/>
          <w:sz w:val="32"/>
          <w:szCs w:val="32"/>
        </w:rPr>
        <w:t>根据学科前沿科学问题及关键技术，坚持稳定的学科研究方向，突出中医药特色，创新发展本学科理论体系，产出一批具有全国影响力的学术成果、高质量学术论文或专著。搭建学科学术交流合作平台，开展中医药学术交流，打造一批学术交流品牌活动，推动学科学术创新发展。</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Times New Roman" w:hAnsi="Times New Roman" w:eastAsia="仿宋_GB2312"/>
          <w:kern w:val="1"/>
          <w:sz w:val="32"/>
          <w:szCs w:val="32"/>
        </w:rPr>
      </w:pPr>
      <w:r>
        <w:rPr>
          <w:rFonts w:ascii="仿宋_GB2312" w:hAnsi="Times New Roman" w:eastAsia="仿宋_GB2312"/>
          <w:b/>
          <w:bCs/>
          <w:kern w:val="1"/>
          <w:sz w:val="32"/>
          <w:szCs w:val="32"/>
        </w:rPr>
        <w:t>2.学科带头人和团队建设。</w:t>
      </w:r>
      <w:r>
        <w:rPr>
          <w:rFonts w:ascii="Times New Roman" w:hAnsi="Times New Roman" w:eastAsia="仿宋_GB2312"/>
          <w:kern w:val="1"/>
          <w:sz w:val="32"/>
          <w:szCs w:val="32"/>
        </w:rPr>
        <w:t>聚焦学科长期建设和发展需要，加强学科带头人、后备学科带头人建设，紧密对接国家重大人才工程、中医药特色人才培养工程（岐黄工程）等人才项目，造就一批中医药学术建树、声誉和影响力卓越的学科带头人，培育一批中医药学术根基牢固、综合能力强的后备学科带头人。</w:t>
      </w:r>
      <w:r>
        <w:rPr>
          <w:rFonts w:ascii="Times New Roman" w:hAnsi="Times New Roman" w:eastAsia="仿宋_GB2312"/>
          <w:sz w:val="32"/>
          <w:szCs w:val="32"/>
        </w:rPr>
        <w:t>制定团队建设规划，建设结构合理、运行高效的学科团队，培育跨学科、跨领域的学科团队和创新人才，提升团队创造力</w:t>
      </w:r>
      <w:r>
        <w:rPr>
          <w:rFonts w:ascii="Times New Roman" w:hAnsi="Times New Roman" w:eastAsia="仿宋_GB2312"/>
          <w:kern w:val="1"/>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Times New Roman" w:hAnsi="Times New Roman" w:eastAsia="仿宋_GB2312"/>
          <w:sz w:val="32"/>
          <w:szCs w:val="32"/>
        </w:rPr>
      </w:pPr>
      <w:r>
        <w:rPr>
          <w:rFonts w:ascii="仿宋_GB2312" w:hAnsi="Times New Roman" w:eastAsia="仿宋_GB2312"/>
          <w:b/>
          <w:bCs/>
          <w:kern w:val="1"/>
          <w:sz w:val="32"/>
          <w:szCs w:val="32"/>
        </w:rPr>
        <w:t>3.学科人才培养。</w:t>
      </w:r>
      <w:r>
        <w:rPr>
          <w:rFonts w:ascii="Times New Roman" w:hAnsi="Times New Roman" w:eastAsia="仿宋_GB2312"/>
          <w:sz w:val="32"/>
          <w:szCs w:val="32"/>
        </w:rPr>
        <w:t>坚持立德树人，突出人才培养的核心地位，一体化推进学科专业建设、教材建设和师资队伍建设。深化医教协同、科教融合，加强学科硕士点、博士点建设，打造高水平的学科人才培养基地，培养一批具有中医药思维和传承能力、富有创新精神的优秀学科人才。完善学科课程教材，推出一批高质量的精品课程和教材。以中青年教师为重点，建设一流学科师资队伍，全面提升人才培养质量。</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Times New Roman" w:hAnsi="Times New Roman" w:eastAsia="仿宋_GB2312"/>
          <w:kern w:val="1"/>
          <w:sz w:val="32"/>
          <w:szCs w:val="32"/>
        </w:rPr>
      </w:pPr>
      <w:r>
        <w:rPr>
          <w:rFonts w:ascii="仿宋_GB2312" w:hAnsi="Times New Roman" w:eastAsia="仿宋_GB2312"/>
          <w:b/>
          <w:bCs/>
          <w:kern w:val="1"/>
          <w:sz w:val="32"/>
          <w:szCs w:val="32"/>
        </w:rPr>
        <w:t>4.创新能力建设。</w:t>
      </w:r>
      <w:r>
        <w:rPr>
          <w:rFonts w:ascii="Times New Roman" w:hAnsi="Times New Roman" w:eastAsia="仿宋_GB2312"/>
          <w:kern w:val="1"/>
          <w:sz w:val="32"/>
          <w:szCs w:val="32"/>
        </w:rPr>
        <w:t>发挥学科综合集成优势，整合国家中医药传承创新中心、国家医学中心、国家临床医学研究中心（中医）、中西医协同“旗舰”医院、国家区域医疗中心、国家中医临床研究基地、国家中医药管理局重点研究室等资源，形成医教研产用深度融合的综合平台。建立具有本学科特点的研究体系和研究方法，围绕本学科发展的1-2个重大关键科学问题或优势领域进行重点研究和创新，支持学科间的交叉协作和联合攻关，在本学科的核心理论、前沿领域或尖端技术、产业发展重大技术需求等方面产生标志性成果。</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Times New Roman" w:hAnsi="Times New Roman" w:eastAsia="仿宋_GB2312"/>
          <w:kern w:val="1"/>
          <w:sz w:val="32"/>
          <w:szCs w:val="32"/>
        </w:rPr>
      </w:pPr>
      <w:r>
        <w:rPr>
          <w:rFonts w:ascii="仿宋_GB2312" w:hAnsi="Times New Roman" w:eastAsia="仿宋_GB2312"/>
          <w:b/>
          <w:bCs/>
          <w:kern w:val="1"/>
          <w:sz w:val="32"/>
          <w:szCs w:val="32"/>
        </w:rPr>
        <w:t>5.服务能力建设。</w:t>
      </w:r>
      <w:r>
        <w:rPr>
          <w:rFonts w:ascii="Times New Roman" w:hAnsi="Times New Roman" w:eastAsia="仿宋_GB2312"/>
          <w:kern w:val="1"/>
          <w:sz w:val="32"/>
          <w:szCs w:val="32"/>
        </w:rPr>
        <w:t>加强学科研究成果的转化、应用与推广，将研究成果转化为临床诊疗方案、指南、新药和相关产品，提升学科解决实际问题的能力。发挥学科特色优势，重点服务于人才培养、服务于临床疗效提升、服务于科技创新、服务于产业发展等，全面提升学科综合服务能力。</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Times New Roman" w:hAnsi="Times New Roman" w:eastAsia="仿宋_GB2312"/>
          <w:kern w:val="1"/>
          <w:sz w:val="32"/>
          <w:szCs w:val="32"/>
        </w:rPr>
      </w:pPr>
      <w:r>
        <w:rPr>
          <w:rFonts w:ascii="仿宋_GB2312" w:hAnsi="Times New Roman" w:eastAsia="仿宋_GB2312"/>
          <w:b/>
          <w:bCs/>
          <w:kern w:val="1"/>
          <w:sz w:val="32"/>
          <w:szCs w:val="32"/>
        </w:rPr>
        <w:t>6.学科条件建设。</w:t>
      </w:r>
      <w:r>
        <w:rPr>
          <w:rFonts w:ascii="Times New Roman" w:hAnsi="Times New Roman" w:eastAsia="仿宋_GB2312"/>
          <w:kern w:val="1"/>
          <w:sz w:val="32"/>
          <w:szCs w:val="32"/>
        </w:rPr>
        <w:t>根据学科发展方向和条件建设需求，在充分利用已有设施条件基础上，优化资源配置，加大投入力度，建立多渠道经费筹措方式，加强学科相关科研平台、基础设施和条件建设。支持学科建设单位申报或建设全国重点实验室、国家工程研究中心等国家级科研创新平台，满足学科发展需要。</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Times New Roman" w:hAnsi="Times New Roman" w:eastAsia="仿宋_GB2312"/>
          <w:kern w:val="1"/>
          <w:sz w:val="32"/>
          <w:szCs w:val="32"/>
        </w:rPr>
      </w:pPr>
      <w:r>
        <w:rPr>
          <w:rFonts w:ascii="仿宋_GB2312" w:hAnsi="Times New Roman" w:eastAsia="仿宋_GB2312"/>
          <w:b/>
          <w:bCs/>
          <w:kern w:val="1"/>
          <w:sz w:val="32"/>
          <w:szCs w:val="32"/>
        </w:rPr>
        <w:t>7.管理运行机制建设。</w:t>
      </w:r>
      <w:r>
        <w:rPr>
          <w:rFonts w:ascii="Times New Roman" w:hAnsi="Times New Roman" w:eastAsia="仿宋_GB2312"/>
          <w:kern w:val="1"/>
          <w:sz w:val="32"/>
          <w:szCs w:val="32"/>
        </w:rPr>
        <w:t>制定学科中长期发展规划，</w:t>
      </w:r>
      <w:r>
        <w:rPr>
          <w:rFonts w:ascii="Times New Roman" w:hAnsi="Times New Roman" w:eastAsia="仿宋_GB2312"/>
          <w:sz w:val="32"/>
          <w:szCs w:val="32"/>
        </w:rPr>
        <w:t>构建完善长效运行机制</w:t>
      </w:r>
      <w:r>
        <w:rPr>
          <w:rFonts w:ascii="Times New Roman" w:hAnsi="Times New Roman" w:eastAsia="仿宋_GB2312"/>
          <w:kern w:val="1"/>
          <w:sz w:val="32"/>
          <w:szCs w:val="32"/>
        </w:rPr>
        <w:t>，充分激发各类人才积极性主动性创造性和学科内生动力，构建充满活力、富有效率、更加开放、动态竞争的激励考核机制。强化组织管理，明确责任，加强多方协同，确保各项建设任务落地见效。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黑体" w:eastAsia="黑体"/>
          <w:kern w:val="0"/>
          <w:sz w:val="32"/>
          <w:szCs w:val="32"/>
          <w:lang w:val="en-US" w:eastAsia="zh-CN"/>
        </w:rPr>
      </w:pPr>
      <w:r>
        <w:rPr>
          <w:rFonts w:hint="eastAsia" w:ascii="黑体" w:eastAsia="黑体"/>
          <w:kern w:val="0"/>
          <w:sz w:val="32"/>
          <w:szCs w:val="32"/>
        </w:rPr>
        <w:t>三、</w:t>
      </w:r>
      <w:r>
        <w:rPr>
          <w:rFonts w:hint="eastAsia" w:ascii="黑体" w:eastAsia="黑体"/>
          <w:kern w:val="0"/>
          <w:sz w:val="32"/>
          <w:szCs w:val="32"/>
          <w:lang w:val="en-US" w:eastAsia="zh-CN"/>
        </w:rPr>
        <w:t>项目周期</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本项目实施周期为三年。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eastAsia="黑体"/>
          <w:kern w:val="0"/>
          <w:sz w:val="32"/>
          <w:szCs w:val="32"/>
          <w:lang w:eastAsia="zh-CN"/>
        </w:rPr>
      </w:pPr>
      <w:r>
        <w:rPr>
          <w:rFonts w:hint="eastAsia" w:ascii="黑体" w:eastAsia="黑体"/>
          <w:kern w:val="0"/>
          <w:sz w:val="32"/>
          <w:szCs w:val="32"/>
        </w:rPr>
        <w:t>四、</w:t>
      </w:r>
      <w:r>
        <w:rPr>
          <w:rFonts w:hint="eastAsia" w:ascii="黑体" w:eastAsia="黑体"/>
          <w:kern w:val="0"/>
          <w:sz w:val="32"/>
          <w:szCs w:val="32"/>
          <w:lang w:val="en-US" w:eastAsia="zh-CN"/>
        </w:rPr>
        <w:t>考核评价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kern w:val="1"/>
          <w:sz w:val="32"/>
          <w:szCs w:val="32"/>
        </w:rPr>
      </w:pPr>
      <w:r>
        <w:rPr>
          <w:rFonts w:ascii="Times New Roman" w:hAnsi="Times New Roman" w:eastAsia="仿宋_GB2312"/>
          <w:kern w:val="1"/>
          <w:sz w:val="32"/>
          <w:szCs w:val="32"/>
        </w:rPr>
        <w:t>（一）入选学科应制定建设任务书和中长期发展规划。任务书应对照建设任务要求，提出清晰的发展目标、年度目标、工作计划和实施方案，作为考核与评价的主要依据。中长期发展规划应立足持续稳定的学科发展方向，提出未来</w:t>
      </w:r>
      <w:r>
        <w:rPr>
          <w:rFonts w:hint="eastAsia" w:ascii="Times New Roman" w:hAnsi="Times New Roman" w:eastAsia="仿宋_GB2312"/>
          <w:kern w:val="1"/>
          <w:sz w:val="32"/>
          <w:szCs w:val="32"/>
          <w:lang w:val="en-US" w:eastAsia="zh-CN"/>
        </w:rPr>
        <w:t>3</w:t>
      </w:r>
      <w:r>
        <w:rPr>
          <w:rFonts w:ascii="Times New Roman" w:hAnsi="Times New Roman" w:eastAsia="仿宋_GB2312"/>
          <w:kern w:val="1"/>
          <w:sz w:val="32"/>
          <w:szCs w:val="32"/>
        </w:rPr>
        <w:t>-</w:t>
      </w:r>
      <w:r>
        <w:rPr>
          <w:rFonts w:hint="eastAsia" w:ascii="Times New Roman" w:hAnsi="Times New Roman" w:eastAsia="仿宋_GB2312"/>
          <w:kern w:val="1"/>
          <w:sz w:val="32"/>
          <w:szCs w:val="32"/>
          <w:lang w:val="en-US" w:eastAsia="zh-CN"/>
        </w:rPr>
        <w:t>5</w:t>
      </w:r>
      <w:r>
        <w:rPr>
          <w:rFonts w:ascii="Times New Roman" w:hAnsi="Times New Roman" w:eastAsia="仿宋_GB2312"/>
          <w:kern w:val="1"/>
          <w:sz w:val="32"/>
          <w:szCs w:val="32"/>
        </w:rPr>
        <w:t>年的发展愿景。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kern w:val="1"/>
          <w:sz w:val="32"/>
          <w:szCs w:val="32"/>
        </w:rPr>
      </w:pPr>
      <w:r>
        <w:rPr>
          <w:rFonts w:ascii="Times New Roman" w:hAnsi="Times New Roman" w:eastAsia="仿宋_GB2312"/>
          <w:kern w:val="1"/>
          <w:sz w:val="32"/>
          <w:szCs w:val="32"/>
        </w:rPr>
        <w:t>（二）根据项目实施进度和建设目标，加强对建设任务完成情况的跟踪管理和考核评估。组织制定分类考核评价指标体系，开展中期评估，并将评估结果作为是否持续支持的主要依据。中期评估不合格者，予以退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kern w:val="1"/>
          <w:sz w:val="32"/>
          <w:szCs w:val="32"/>
        </w:rPr>
      </w:pPr>
      <w:r>
        <w:rPr>
          <w:rFonts w:ascii="Times New Roman" w:hAnsi="Times New Roman" w:eastAsia="仿宋_GB2312"/>
          <w:kern w:val="1"/>
          <w:sz w:val="32"/>
          <w:szCs w:val="32"/>
        </w:rPr>
        <w:t>（三）终期验收将组织专家对学科建设任务进行综合评价，重点分类评价学科发展、团队建设、人才培养、科研创新、社会服务、国际影响力等方面成效。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黑体"/>
          <w:kern w:val="1"/>
          <w:sz w:val="32"/>
          <w:szCs w:val="32"/>
        </w:rPr>
      </w:pPr>
      <w:r>
        <w:rPr>
          <w:rFonts w:hint="eastAsia" w:ascii="Times New Roman" w:hAnsi="Times New Roman" w:eastAsia="黑体"/>
          <w:kern w:val="1"/>
          <w:sz w:val="32"/>
          <w:szCs w:val="32"/>
          <w:lang w:val="en-US" w:eastAsia="zh-CN"/>
        </w:rPr>
        <w:t>五</w:t>
      </w:r>
      <w:r>
        <w:rPr>
          <w:rFonts w:ascii="Times New Roman" w:hAnsi="Times New Roman" w:eastAsia="黑体"/>
          <w:kern w:val="1"/>
          <w:sz w:val="32"/>
          <w:szCs w:val="32"/>
        </w:rPr>
        <w:t>、组织实施和保障措施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kern w:val="1"/>
          <w:sz w:val="32"/>
          <w:szCs w:val="32"/>
        </w:rPr>
      </w:pPr>
      <w:r>
        <w:rPr>
          <w:rFonts w:ascii="Times New Roman" w:hAnsi="Times New Roman" w:eastAsia="仿宋_GB2312"/>
          <w:kern w:val="1"/>
          <w:sz w:val="32"/>
          <w:szCs w:val="32"/>
        </w:rPr>
        <w:t>（一）</w:t>
      </w:r>
      <w:r>
        <w:rPr>
          <w:rFonts w:hint="eastAsia" w:ascii="Times New Roman" w:hAnsi="Times New Roman" w:eastAsia="仿宋_GB2312"/>
          <w:kern w:val="1"/>
          <w:sz w:val="32"/>
          <w:szCs w:val="32"/>
          <w:lang w:val="en-US" w:eastAsia="zh-CN"/>
        </w:rPr>
        <w:t>省</w:t>
      </w:r>
      <w:r>
        <w:rPr>
          <w:rFonts w:ascii="Times New Roman" w:hAnsi="Times New Roman" w:eastAsia="仿宋_GB2312"/>
          <w:kern w:val="1"/>
          <w:sz w:val="32"/>
          <w:szCs w:val="32"/>
        </w:rPr>
        <w:t>中医药管理负责项目日常管理，组织专家指导、过程管理和评估</w:t>
      </w:r>
      <w:r>
        <w:rPr>
          <w:rFonts w:hint="eastAsia" w:ascii="Times New Roman" w:hAnsi="Times New Roman" w:eastAsia="仿宋_GB2312"/>
          <w:kern w:val="1"/>
          <w:sz w:val="32"/>
          <w:szCs w:val="32"/>
          <w:lang w:eastAsia="zh-CN"/>
        </w:rPr>
        <w:t>、</w:t>
      </w:r>
      <w:r>
        <w:rPr>
          <w:rFonts w:hint="eastAsia" w:ascii="Times New Roman" w:hAnsi="Times New Roman" w:eastAsia="仿宋_GB2312"/>
          <w:kern w:val="1"/>
          <w:sz w:val="32"/>
          <w:szCs w:val="32"/>
          <w:lang w:val="en-US" w:eastAsia="zh-CN"/>
        </w:rPr>
        <w:t>验收</w:t>
      </w:r>
      <w:r>
        <w:rPr>
          <w:rFonts w:ascii="Times New Roman" w:hAnsi="Times New Roman" w:eastAsia="仿宋_GB2312"/>
          <w:kern w:val="1"/>
          <w:sz w:val="32"/>
          <w:szCs w:val="32"/>
        </w:rPr>
        <w:t>等工作。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kern w:val="1"/>
          <w:sz w:val="32"/>
          <w:szCs w:val="32"/>
        </w:rPr>
      </w:pPr>
      <w:r>
        <w:rPr>
          <w:rFonts w:ascii="Times New Roman" w:hAnsi="Times New Roman" w:eastAsia="仿宋_GB2312"/>
          <w:kern w:val="1"/>
          <w:sz w:val="32"/>
          <w:szCs w:val="32"/>
        </w:rPr>
        <w:t>（二）</w:t>
      </w:r>
      <w:r>
        <w:rPr>
          <w:rFonts w:hint="eastAsia" w:ascii="Times New Roman" w:hAnsi="Times New Roman" w:eastAsia="仿宋_GB2312"/>
          <w:kern w:val="1"/>
          <w:sz w:val="32"/>
          <w:szCs w:val="32"/>
          <w:lang w:val="en-US" w:eastAsia="zh-CN"/>
        </w:rPr>
        <w:t>市</w:t>
      </w:r>
      <w:r>
        <w:rPr>
          <w:rFonts w:ascii="Times New Roman" w:hAnsi="Times New Roman" w:eastAsia="仿宋_GB2312"/>
          <w:kern w:val="1"/>
          <w:sz w:val="32"/>
          <w:szCs w:val="32"/>
        </w:rPr>
        <w:t>级中医药主管部门负责本辖区或本管理单位高水平中医药学科建设的指导、过程管理和监督工作，并给予一定的政策条件支持，推动学科建设发展。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kern w:val="1"/>
          <w:sz w:val="32"/>
          <w:szCs w:val="32"/>
        </w:rPr>
      </w:pPr>
      <w:r>
        <w:rPr>
          <w:rFonts w:ascii="Times New Roman" w:hAnsi="Times New Roman" w:eastAsia="仿宋_GB2312"/>
          <w:kern w:val="1"/>
          <w:sz w:val="32"/>
          <w:szCs w:val="32"/>
        </w:rPr>
        <w:t>（三）学科建设单位负责本单位学科日常管理，加强学科建设工作力量，并给予不低于</w:t>
      </w:r>
      <w:r>
        <w:rPr>
          <w:rFonts w:hint="eastAsia" w:ascii="Times New Roman" w:hAnsi="Times New Roman" w:eastAsia="仿宋_GB2312"/>
          <w:kern w:val="1"/>
          <w:sz w:val="32"/>
          <w:szCs w:val="32"/>
          <w:lang w:val="en-US" w:eastAsia="zh-CN"/>
        </w:rPr>
        <w:t>省级</w:t>
      </w:r>
      <w:r>
        <w:rPr>
          <w:rFonts w:ascii="Times New Roman" w:hAnsi="Times New Roman" w:eastAsia="仿宋_GB2312"/>
          <w:kern w:val="1"/>
          <w:sz w:val="32"/>
          <w:szCs w:val="32"/>
        </w:rPr>
        <w:t>财政经费的投入支持，为学科完成各项建设任务提供必要的支持政策和条件保障，并履行相关监管责任。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kern w:val="1"/>
          <w:sz w:val="32"/>
          <w:szCs w:val="32"/>
        </w:rPr>
      </w:pPr>
      <w:r>
        <w:rPr>
          <w:rFonts w:ascii="Times New Roman" w:hAnsi="Times New Roman" w:eastAsia="仿宋_GB2312"/>
          <w:kern w:val="1"/>
          <w:sz w:val="32"/>
          <w:szCs w:val="32"/>
        </w:rPr>
        <w:t>（四）学科带头人为学科建设的第一责任人，应把握本学科的发展方向，全面负责学科建设的组织实施工作。</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313A3A"/>
    <w:rsid w:val="51313A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line="240" w:lineRule="auto"/>
      <w:jc w:val="center"/>
    </w:pPr>
    <w:rPr>
      <w:rFonts w:ascii="Times New Roman" w:hAnsi="Times New Roman" w:eastAsia="微软雅黑" w:cs="Times New Roman"/>
      <w:sz w:val="36"/>
      <w:szCs w:val="24"/>
    </w:rPr>
  </w:style>
  <w:style w:type="paragraph" w:styleId="3">
    <w:name w:val="Body Text First Indent 2"/>
    <w:basedOn w:val="2"/>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2023-12-26T07:40:00Z</dcterms:created>
  <dc:creator>暖。</dc:creator>
  <cp:lastModifiedBy>暖。</cp:lastModifiedBy>
  <dcterms:modified xsi:type="dcterms:W3CDTF">2023-12-26T07:41:00Z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